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EFF" w:rsidRDefault="000B5EFF" w:rsidP="000B5EFF">
      <w:pPr>
        <w:pBdr>
          <w:top w:val="single" w:sz="4" w:space="1" w:color="auto"/>
        </w:pBdr>
        <w:jc w:val="center"/>
        <w:rPr>
          <w:rFonts w:ascii="Century Gothic" w:hAnsi="Century Gothic" w:cs="Arial"/>
          <w:b/>
          <w:color w:val="008080"/>
          <w:sz w:val="40"/>
          <w:szCs w:val="40"/>
        </w:rPr>
      </w:pPr>
      <w:r>
        <w:rPr>
          <w:rFonts w:ascii="Century Gothic" w:hAnsi="Century Gothic" w:cs="Arial"/>
          <w:b/>
          <w:color w:val="008080"/>
          <w:sz w:val="40"/>
          <w:szCs w:val="40"/>
        </w:rPr>
        <w:t xml:space="preserve">Humber, Ford &amp; Stoke Prior </w:t>
      </w:r>
    </w:p>
    <w:p w:rsidR="000B5EFF" w:rsidRDefault="000B5EFF" w:rsidP="000B5EFF">
      <w:pPr>
        <w:pBdr>
          <w:top w:val="single" w:sz="4" w:space="1" w:color="auto"/>
        </w:pBdr>
        <w:jc w:val="center"/>
        <w:rPr>
          <w:rFonts w:ascii="Century Gothic" w:hAnsi="Century Gothic" w:cs="Arial"/>
          <w:b/>
          <w:color w:val="008080"/>
          <w:sz w:val="40"/>
          <w:szCs w:val="40"/>
        </w:rPr>
      </w:pPr>
      <w:r>
        <w:rPr>
          <w:rFonts w:ascii="Century Gothic" w:hAnsi="Century Gothic" w:cs="Arial"/>
          <w:b/>
          <w:color w:val="008080"/>
          <w:sz w:val="40"/>
          <w:szCs w:val="40"/>
        </w:rPr>
        <w:t>Group Parish Council</w:t>
      </w:r>
    </w:p>
    <w:p w:rsidR="000B5EFF" w:rsidRPr="00735F3F" w:rsidRDefault="000B5EFF" w:rsidP="000B5EFF">
      <w:pPr>
        <w:jc w:val="center"/>
        <w:rPr>
          <w:rFonts w:ascii="Arial" w:eastAsia="Calibri" w:hAnsi="Arial" w:cs="Arial"/>
          <w:b/>
          <w:i/>
          <w:sz w:val="22"/>
          <w:szCs w:val="22"/>
        </w:rPr>
      </w:pPr>
    </w:p>
    <w:p w:rsidR="000B5EFF" w:rsidRDefault="000B5EFF" w:rsidP="000B5EFF">
      <w:pPr>
        <w:pStyle w:val="NoSpacing"/>
        <w:jc w:val="center"/>
        <w:rPr>
          <w:rFonts w:ascii="Arial" w:hAnsi="Arial" w:cs="Arial"/>
          <w:b/>
          <w:sz w:val="32"/>
        </w:rPr>
      </w:pPr>
      <w:r>
        <w:rPr>
          <w:rFonts w:ascii="Arial" w:hAnsi="Arial" w:cs="Arial"/>
          <w:b/>
          <w:sz w:val="32"/>
        </w:rPr>
        <w:t>Data retention schedule</w:t>
      </w:r>
    </w:p>
    <w:p w:rsidR="000B5EFF" w:rsidRDefault="000B5EFF" w:rsidP="000B5EFF">
      <w:pPr>
        <w:pStyle w:val="BodyText"/>
      </w:pPr>
    </w:p>
    <w:p w:rsidR="000B5EFF" w:rsidRPr="008C0B5B" w:rsidRDefault="000B5EFF" w:rsidP="000B5EFF">
      <w:pPr>
        <w:pStyle w:val="BodyText"/>
        <w:jc w:val="both"/>
        <w:rPr>
          <w:b w:val="0"/>
          <w:sz w:val="22"/>
          <w:szCs w:val="22"/>
        </w:rPr>
      </w:pPr>
      <w:r w:rsidRPr="008C0B5B">
        <w:rPr>
          <w:b w:val="0"/>
          <w:sz w:val="22"/>
          <w:szCs w:val="22"/>
        </w:rPr>
        <w:t>This document is based on guidance from Herefordshire Archives and Records Service (HARC), designed to help parish clerks and other officers responsible for looking after Herefordshire’s parish and town councils to manage their records.</w:t>
      </w:r>
    </w:p>
    <w:p w:rsidR="000B5EFF" w:rsidRPr="008C0B5B" w:rsidRDefault="000B5EFF" w:rsidP="000B5EFF">
      <w:pPr>
        <w:pStyle w:val="BodyText"/>
        <w:jc w:val="both"/>
        <w:rPr>
          <w:b w:val="0"/>
          <w:sz w:val="22"/>
          <w:szCs w:val="22"/>
        </w:rPr>
      </w:pPr>
    </w:p>
    <w:p w:rsidR="000B5EFF" w:rsidRPr="008C0B5B" w:rsidRDefault="000B5EFF" w:rsidP="000B5EFF">
      <w:pPr>
        <w:pStyle w:val="BodyText"/>
        <w:jc w:val="both"/>
        <w:rPr>
          <w:b w:val="0"/>
          <w:sz w:val="22"/>
          <w:szCs w:val="22"/>
        </w:rPr>
      </w:pPr>
      <w:r w:rsidRPr="008C0B5B">
        <w:rPr>
          <w:b w:val="0"/>
          <w:sz w:val="22"/>
          <w:szCs w:val="22"/>
        </w:rPr>
        <w:t xml:space="preserve">The current guidance from HARC will be the basis for the Group Parish Council’s approach to records management, including the creation, storage, retention or destruction of records. This includes depositing archive records with HARC on long-term loan. </w:t>
      </w:r>
    </w:p>
    <w:p w:rsidR="000B5EFF" w:rsidRPr="008C0B5B" w:rsidRDefault="000B5EFF" w:rsidP="000B5EFF">
      <w:pPr>
        <w:pStyle w:val="BodyText"/>
        <w:rPr>
          <w:sz w:val="22"/>
          <w:szCs w:val="22"/>
        </w:rPr>
      </w:pPr>
    </w:p>
    <w:p w:rsidR="000B5EFF" w:rsidRPr="008C0B5B" w:rsidRDefault="000B5EFF" w:rsidP="000B5EFF">
      <w:pPr>
        <w:pStyle w:val="BodyText"/>
        <w:jc w:val="both"/>
        <w:rPr>
          <w:b w:val="0"/>
          <w:bCs w:val="0"/>
          <w:sz w:val="22"/>
          <w:szCs w:val="22"/>
        </w:rPr>
      </w:pPr>
      <w:r w:rsidRPr="008C0B5B">
        <w:rPr>
          <w:b w:val="0"/>
          <w:bCs w:val="0"/>
          <w:sz w:val="22"/>
          <w:szCs w:val="22"/>
        </w:rPr>
        <w:t>The following schedule lists, for each record type, how long records will be kept and why, and at the end of that period whether records will be securely destroyed or deposited with HARC.</w:t>
      </w:r>
    </w:p>
    <w:p w:rsidR="000B5EFF" w:rsidRPr="008C0B5B" w:rsidRDefault="000B5EFF" w:rsidP="000B5EFF">
      <w:pPr>
        <w:pStyle w:val="BodyText"/>
        <w:jc w:val="both"/>
        <w:rPr>
          <w:b w:val="0"/>
          <w:bCs w:val="0"/>
          <w:sz w:val="22"/>
          <w:szCs w:val="22"/>
        </w:rPr>
      </w:pPr>
    </w:p>
    <w:p w:rsidR="000B5EFF" w:rsidRPr="008C0B5B" w:rsidRDefault="000B5EFF" w:rsidP="000B5EFF">
      <w:pPr>
        <w:pStyle w:val="BodyText"/>
        <w:jc w:val="both"/>
        <w:rPr>
          <w:b w:val="0"/>
          <w:bCs w:val="0"/>
          <w:sz w:val="22"/>
          <w:szCs w:val="22"/>
          <w:u w:val="single"/>
        </w:rPr>
      </w:pPr>
      <w:r w:rsidRPr="008C0B5B">
        <w:rPr>
          <w:bCs w:val="0"/>
          <w:sz w:val="22"/>
          <w:szCs w:val="22"/>
        </w:rPr>
        <w:t>Records identified for permanent preservation</w:t>
      </w:r>
    </w:p>
    <w:p w:rsidR="000B5EFF" w:rsidRPr="008C0B5B" w:rsidRDefault="000B5EFF" w:rsidP="000B5EFF">
      <w:pPr>
        <w:pStyle w:val="BodyText"/>
        <w:jc w:val="both"/>
        <w:rPr>
          <w:b w:val="0"/>
          <w:bCs w:val="0"/>
          <w:sz w:val="22"/>
          <w:szCs w:val="22"/>
        </w:rPr>
      </w:pPr>
      <w:r w:rsidRPr="008C0B5B">
        <w:rPr>
          <w:b w:val="0"/>
          <w:bCs w:val="0"/>
          <w:sz w:val="22"/>
          <w:szCs w:val="22"/>
        </w:rPr>
        <w:t xml:space="preserve">Records in this category have been identified by the Archive Service for permanent retention. These should be deposited with the Archive Service once there is no longer an administrative need for them to be kept locally. </w:t>
      </w:r>
    </w:p>
    <w:p w:rsidR="000B5EFF" w:rsidRPr="008C0B5B" w:rsidRDefault="000B5EFF" w:rsidP="000B5EFF">
      <w:pPr>
        <w:pStyle w:val="BodyText"/>
        <w:jc w:val="both"/>
        <w:rPr>
          <w:b w:val="0"/>
          <w:bCs w:val="0"/>
          <w:sz w:val="22"/>
          <w:szCs w:val="22"/>
        </w:rPr>
      </w:pPr>
    </w:p>
    <w:p w:rsidR="000B5EFF" w:rsidRPr="008C0B5B" w:rsidRDefault="000B5EFF" w:rsidP="000B5EFF">
      <w:pPr>
        <w:pStyle w:val="BodyText"/>
        <w:jc w:val="both"/>
        <w:rPr>
          <w:b w:val="0"/>
          <w:bCs w:val="0"/>
          <w:sz w:val="22"/>
          <w:szCs w:val="22"/>
        </w:rPr>
      </w:pPr>
      <w:r w:rsidRPr="008C0B5B">
        <w:rPr>
          <w:b w:val="0"/>
          <w:bCs w:val="0"/>
          <w:sz w:val="22"/>
          <w:szCs w:val="22"/>
        </w:rPr>
        <w:t xml:space="preserve">Documents earmarked for permanent preservation are usually identifiable if they have been stored as discrete groups. When no organised filing system is employed this process can be challenging. Other record series are complicated regardless of their filing, e.g. correspondence and planning files. In these cases clerks are often best placed to evaluate which documents relate to significant local issues. Such records should be identified prior to their transfer to the Archive Service. </w:t>
      </w:r>
    </w:p>
    <w:p w:rsidR="000B5EFF" w:rsidRPr="008C0B5B" w:rsidRDefault="000B5EFF" w:rsidP="000B5EFF">
      <w:pPr>
        <w:pStyle w:val="BodyText"/>
        <w:jc w:val="both"/>
        <w:rPr>
          <w:b w:val="0"/>
          <w:bCs w:val="0"/>
          <w:sz w:val="22"/>
          <w:szCs w:val="22"/>
        </w:rPr>
      </w:pPr>
    </w:p>
    <w:p w:rsidR="000B5EFF" w:rsidRPr="008C0B5B" w:rsidRDefault="000B5EFF" w:rsidP="000B5EFF">
      <w:pPr>
        <w:pStyle w:val="BodyText"/>
        <w:jc w:val="both"/>
        <w:rPr>
          <w:b w:val="0"/>
          <w:bCs w:val="0"/>
          <w:sz w:val="22"/>
          <w:szCs w:val="22"/>
          <w:u w:val="single"/>
        </w:rPr>
      </w:pPr>
      <w:r w:rsidRPr="008C0B5B">
        <w:rPr>
          <w:b w:val="0"/>
          <w:bCs w:val="0"/>
          <w:sz w:val="22"/>
          <w:szCs w:val="22"/>
        </w:rPr>
        <w:t xml:space="preserve">Typically the only financial records recommended for deposit are the payment and receipt books or the annual audited accounts if the former has not survived. These are often filed with receipts and payments that are not necessary for preservation and should be weeded prior to their transfer to the Archive Service. </w:t>
      </w:r>
    </w:p>
    <w:p w:rsidR="000B5EFF" w:rsidRPr="008C0B5B" w:rsidRDefault="000B5EFF" w:rsidP="000B5EFF">
      <w:pPr>
        <w:pStyle w:val="BodyText"/>
        <w:jc w:val="both"/>
        <w:rPr>
          <w:b w:val="0"/>
          <w:bCs w:val="0"/>
          <w:sz w:val="22"/>
          <w:szCs w:val="22"/>
          <w:u w:val="single"/>
        </w:rPr>
      </w:pPr>
    </w:p>
    <w:p w:rsidR="000B5EFF" w:rsidRPr="008C0B5B" w:rsidRDefault="000B5EFF" w:rsidP="000B5EFF">
      <w:pPr>
        <w:pStyle w:val="BodyText"/>
        <w:jc w:val="both"/>
        <w:rPr>
          <w:bCs w:val="0"/>
          <w:sz w:val="22"/>
          <w:szCs w:val="22"/>
        </w:rPr>
      </w:pPr>
      <w:r w:rsidRPr="008C0B5B">
        <w:rPr>
          <w:bCs w:val="0"/>
          <w:sz w:val="22"/>
          <w:szCs w:val="22"/>
        </w:rPr>
        <w:t xml:space="preserve">Records to be reviewed by Herefordshire Archive Service </w:t>
      </w:r>
    </w:p>
    <w:p w:rsidR="000B5EFF" w:rsidRPr="008C0B5B" w:rsidRDefault="000B5EFF" w:rsidP="000B5EFF">
      <w:pPr>
        <w:pStyle w:val="BodyText"/>
        <w:jc w:val="both"/>
        <w:rPr>
          <w:b w:val="0"/>
          <w:bCs w:val="0"/>
          <w:sz w:val="22"/>
          <w:szCs w:val="22"/>
        </w:rPr>
      </w:pPr>
      <w:r w:rsidRPr="008C0B5B">
        <w:rPr>
          <w:b w:val="0"/>
          <w:bCs w:val="0"/>
          <w:sz w:val="22"/>
          <w:szCs w:val="22"/>
        </w:rPr>
        <w:t xml:space="preserve">Records in this category should be transferred to the Archive Service after the minimum retention period or once they become inactive. An archivist will then review the collection and select documents to preserve. Those records not selected may be safely destroyed by the parish or town clerk, or retained locally. </w:t>
      </w:r>
    </w:p>
    <w:p w:rsidR="000B5EFF" w:rsidRPr="008C0B5B" w:rsidRDefault="000B5EFF" w:rsidP="000B5EFF">
      <w:pPr>
        <w:pStyle w:val="BodyText"/>
        <w:jc w:val="both"/>
        <w:rPr>
          <w:b w:val="0"/>
          <w:bCs w:val="0"/>
          <w:sz w:val="22"/>
          <w:szCs w:val="22"/>
          <w:u w:val="single"/>
        </w:rPr>
      </w:pPr>
    </w:p>
    <w:p w:rsidR="000B5EFF" w:rsidRPr="008C0B5B" w:rsidRDefault="000B5EFF" w:rsidP="000B5EFF">
      <w:pPr>
        <w:pStyle w:val="BodyText"/>
        <w:jc w:val="both"/>
        <w:rPr>
          <w:bCs w:val="0"/>
          <w:sz w:val="22"/>
          <w:szCs w:val="22"/>
        </w:rPr>
      </w:pPr>
      <w:r w:rsidRPr="008C0B5B">
        <w:rPr>
          <w:bCs w:val="0"/>
          <w:sz w:val="22"/>
          <w:szCs w:val="22"/>
        </w:rPr>
        <w:t>Records to be destroyed by the parish clerk</w:t>
      </w:r>
    </w:p>
    <w:p w:rsidR="000B5EFF" w:rsidRPr="008C0B5B" w:rsidRDefault="000B5EFF" w:rsidP="000B5EFF">
      <w:pPr>
        <w:pStyle w:val="BodyText"/>
        <w:jc w:val="both"/>
        <w:rPr>
          <w:b w:val="0"/>
          <w:bCs w:val="0"/>
          <w:sz w:val="22"/>
          <w:szCs w:val="22"/>
        </w:rPr>
      </w:pPr>
      <w:r w:rsidRPr="008C0B5B">
        <w:rPr>
          <w:b w:val="0"/>
          <w:bCs w:val="0"/>
          <w:sz w:val="22"/>
          <w:szCs w:val="22"/>
        </w:rPr>
        <w:t xml:space="preserve">A large number of parish and town council records can be destroyed once they become inactive or the minimum retention period expires. Financial records account for the majority of this category. Typically these must be kept for a minimum of 6 years after the last entry (Limitation Act 1980, VAT Act 1994 etc.), but may be retained for longer depending on local circumstances. Records not given a minimum retention period can be destroyed once there is no longer an administrative requirement for their custody.  If you are unsure whether a document or series of records should be destroyed then please contact the Archive Service for further guidance. </w:t>
      </w:r>
    </w:p>
    <w:p w:rsidR="000B5EFF" w:rsidRPr="008C0B5B" w:rsidRDefault="000B5EFF" w:rsidP="000B5EFF">
      <w:pPr>
        <w:pStyle w:val="BodyText"/>
        <w:jc w:val="both"/>
        <w:rPr>
          <w:b w:val="0"/>
          <w:bCs w:val="0"/>
          <w:sz w:val="22"/>
          <w:szCs w:val="22"/>
        </w:rPr>
      </w:pPr>
    </w:p>
    <w:p w:rsidR="000B5EFF" w:rsidRPr="008C0B5B" w:rsidRDefault="000B5EFF" w:rsidP="000B5EFF">
      <w:pPr>
        <w:pStyle w:val="BodyText"/>
        <w:jc w:val="both"/>
        <w:rPr>
          <w:b w:val="0"/>
          <w:bCs w:val="0"/>
          <w:sz w:val="22"/>
          <w:szCs w:val="22"/>
        </w:rPr>
      </w:pPr>
      <w:r w:rsidRPr="008C0B5B">
        <w:rPr>
          <w:b w:val="0"/>
          <w:bCs w:val="0"/>
          <w:sz w:val="22"/>
          <w:szCs w:val="22"/>
        </w:rPr>
        <w:t>To protect confidential information, all records assigned for disposal should be securely destroyed.  Paper records containing confidential information should be shredded or pulped, and not simply thrown out with other classes of records. Electronic or machine-readable records will require a two-step process for assured confidential destruction: deletion of the contents of digital files, and the use of commercially available software applications to remove all residual data from the storage device. These processes may be outsourced to credible commercial companies who specialise in confidential destruction of records.</w:t>
      </w:r>
    </w:p>
    <w:p w:rsidR="000B5EFF" w:rsidRDefault="000B5EFF" w:rsidP="000B5EFF">
      <w:pPr>
        <w:pStyle w:val="BodyText"/>
        <w:jc w:val="both"/>
        <w:rPr>
          <w:b w:val="0"/>
          <w:bCs w:val="0"/>
          <w:sz w:val="22"/>
          <w:szCs w:val="22"/>
        </w:rPr>
      </w:pPr>
    </w:p>
    <w:p w:rsidR="008C0B5B" w:rsidRPr="008C0B5B" w:rsidRDefault="008C0B5B" w:rsidP="000B5EFF">
      <w:pPr>
        <w:pStyle w:val="BodyText"/>
        <w:jc w:val="both"/>
        <w:rPr>
          <w:b w:val="0"/>
          <w:bCs w:val="0"/>
          <w:sz w:val="22"/>
          <w:szCs w:val="22"/>
        </w:rPr>
      </w:pPr>
      <w:bookmarkStart w:id="0" w:name="_GoBack"/>
      <w:bookmarkEnd w:id="0"/>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3690"/>
        <w:gridCol w:w="1530"/>
        <w:gridCol w:w="2070"/>
      </w:tblGrid>
      <w:tr w:rsidR="000B5EFF" w:rsidRPr="008C0B5B" w:rsidTr="00A31C68">
        <w:tblPrEx>
          <w:tblCellMar>
            <w:top w:w="0" w:type="dxa"/>
            <w:bottom w:w="0" w:type="dxa"/>
          </w:tblCellMar>
        </w:tblPrEx>
        <w:trPr>
          <w:trHeight w:val="276"/>
        </w:trPr>
        <w:tc>
          <w:tcPr>
            <w:tcW w:w="2538" w:type="dxa"/>
            <w:shd w:val="clear" w:color="auto" w:fill="FBE4D5"/>
          </w:tcPr>
          <w:p w:rsidR="000B5EFF" w:rsidRPr="008C0B5B" w:rsidRDefault="000B5EFF" w:rsidP="00A31C68">
            <w:pPr>
              <w:jc w:val="center"/>
              <w:rPr>
                <w:rFonts w:ascii="Arial" w:hAnsi="Arial" w:cs="Arial"/>
                <w:b/>
                <w:sz w:val="22"/>
                <w:szCs w:val="22"/>
              </w:rPr>
            </w:pPr>
            <w:r w:rsidRPr="008C0B5B">
              <w:rPr>
                <w:rFonts w:ascii="Arial" w:hAnsi="Arial" w:cs="Arial"/>
                <w:b/>
                <w:sz w:val="22"/>
                <w:szCs w:val="22"/>
              </w:rPr>
              <w:lastRenderedPageBreak/>
              <w:t>Records</w:t>
            </w:r>
          </w:p>
        </w:tc>
        <w:tc>
          <w:tcPr>
            <w:tcW w:w="3690" w:type="dxa"/>
            <w:shd w:val="clear" w:color="auto" w:fill="FBE4D5"/>
          </w:tcPr>
          <w:p w:rsidR="000B5EFF" w:rsidRPr="008C0B5B" w:rsidRDefault="000B5EFF" w:rsidP="00A31C68">
            <w:pPr>
              <w:jc w:val="center"/>
              <w:rPr>
                <w:rFonts w:ascii="Arial" w:hAnsi="Arial" w:cs="Arial"/>
                <w:b/>
                <w:sz w:val="22"/>
                <w:szCs w:val="22"/>
              </w:rPr>
            </w:pPr>
            <w:r w:rsidRPr="008C0B5B">
              <w:rPr>
                <w:rFonts w:ascii="Arial" w:hAnsi="Arial" w:cs="Arial"/>
                <w:b/>
                <w:sz w:val="22"/>
                <w:szCs w:val="22"/>
              </w:rPr>
              <w:t>Retention period</w:t>
            </w:r>
          </w:p>
        </w:tc>
        <w:tc>
          <w:tcPr>
            <w:tcW w:w="1530" w:type="dxa"/>
            <w:shd w:val="clear" w:color="auto" w:fill="FBE4D5"/>
          </w:tcPr>
          <w:p w:rsidR="000B5EFF" w:rsidRPr="008C0B5B" w:rsidRDefault="000B5EFF" w:rsidP="00A31C68">
            <w:pPr>
              <w:jc w:val="center"/>
              <w:rPr>
                <w:rFonts w:ascii="Arial" w:hAnsi="Arial" w:cs="Arial"/>
                <w:b/>
                <w:sz w:val="22"/>
                <w:szCs w:val="22"/>
              </w:rPr>
            </w:pPr>
            <w:r w:rsidRPr="008C0B5B">
              <w:rPr>
                <w:rFonts w:ascii="Arial" w:hAnsi="Arial" w:cs="Arial"/>
                <w:b/>
                <w:sz w:val="22"/>
                <w:szCs w:val="22"/>
              </w:rPr>
              <w:t>Action</w:t>
            </w:r>
          </w:p>
        </w:tc>
        <w:tc>
          <w:tcPr>
            <w:tcW w:w="2070" w:type="dxa"/>
            <w:shd w:val="clear" w:color="auto" w:fill="FBE4D5"/>
          </w:tcPr>
          <w:p w:rsidR="000B5EFF" w:rsidRPr="008C0B5B" w:rsidRDefault="000B5EFF" w:rsidP="00A31C68">
            <w:pPr>
              <w:jc w:val="center"/>
              <w:rPr>
                <w:rFonts w:ascii="Arial" w:hAnsi="Arial" w:cs="Arial"/>
                <w:b/>
                <w:sz w:val="22"/>
                <w:szCs w:val="22"/>
              </w:rPr>
            </w:pPr>
            <w:r w:rsidRPr="008C0B5B">
              <w:rPr>
                <w:rFonts w:ascii="Arial" w:hAnsi="Arial" w:cs="Arial"/>
                <w:b/>
                <w:sz w:val="22"/>
                <w:szCs w:val="22"/>
              </w:rPr>
              <w:t>Reason</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pStyle w:val="Heading1"/>
              <w:rPr>
                <w:sz w:val="22"/>
                <w:szCs w:val="22"/>
              </w:rPr>
            </w:pPr>
            <w:r w:rsidRPr="008C0B5B">
              <w:rPr>
                <w:sz w:val="22"/>
                <w:szCs w:val="22"/>
              </w:rPr>
              <w:t>Administrative</w:t>
            </w:r>
          </w:p>
        </w:tc>
        <w:tc>
          <w:tcPr>
            <w:tcW w:w="3690" w:type="dxa"/>
          </w:tcPr>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rPr>
                <w:rFonts w:ascii="Arial" w:hAnsi="Arial" w:cs="Arial"/>
                <w:sz w:val="22"/>
                <w:szCs w:val="22"/>
              </w:rPr>
            </w:pPr>
          </w:p>
        </w:tc>
        <w:tc>
          <w:tcPr>
            <w:tcW w:w="2070" w:type="dxa"/>
          </w:tcPr>
          <w:p w:rsidR="000B5EFF" w:rsidRPr="008C0B5B" w:rsidRDefault="000B5EFF" w:rsidP="00A31C68">
            <w:pPr>
              <w:rPr>
                <w:rFonts w:ascii="Arial" w:hAnsi="Arial" w:cs="Arial"/>
                <w:sz w:val="22"/>
                <w:szCs w:val="22"/>
              </w:rPr>
            </w:pP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Signed council and committee minutes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after 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Draft minutes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 date of confirmation of the minutes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Agendas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Retained in Minute Book</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Reports and other documents circulated with agendas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Retained in Minute Book</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Councillors’ declarations of office</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4 years or until they vacate office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Register of electors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Copies already in existence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Grouping orders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Byelaws and orders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Preserve one of each copy and transfer to HARC once they become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Policy documents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Title deeds more than 100 years old</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once they become inactive. HARC will not accept deeds still needed to prove title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Title deeds less than 100 years old</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for review once they become inactive. HARC will not accept deeds still needed to prove title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Property registers and terriers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once they become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Maps, plans, and surveys of property owned by the council or meeting</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once they become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417"/>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General correspondence </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 after correspondence ends</w:t>
            </w:r>
          </w:p>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417"/>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Complaints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 after resolution of complaint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417"/>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Information Requests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 after resolution of request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Parish or Neighbourhood Plans and supporting papers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Planning applications and related papers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 with the view to 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Other Planning applications for minor works where permission is refused</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Limitation Act 1980</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Leases, agreements, contracts and wayleaves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Parish council newsletter</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Transfer one copy to HARC </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Newsletter mailing list</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Retain until consent withdrawn or following regular review consent no </w:t>
            </w:r>
            <w:r w:rsidRPr="008C0B5B">
              <w:rPr>
                <w:rFonts w:ascii="Arial" w:hAnsi="Arial" w:cs="Arial"/>
                <w:sz w:val="22"/>
                <w:szCs w:val="22"/>
              </w:rPr>
              <w:lastRenderedPageBreak/>
              <w:t>longer provided</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lastRenderedPageBreak/>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lastRenderedPageBreak/>
              <w:t>Quotations and tenders (successful)</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 after contract ends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Limitation Act 1980</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Quotations and tenders (unsuccessful) </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2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Routine internal correspondence and papers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 with the view to 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Scale of fees and charges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superseded by new charges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Employers’ liability insurance policies </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40 years after expiry date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Employers’ Liability Act 1969</w:t>
            </w:r>
          </w:p>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Employers’ Liability Regulations 1998</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Risk assessments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Once superseded by a new risk assessment or once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Personnel files (</w:t>
            </w:r>
            <w:proofErr w:type="spellStart"/>
            <w:r w:rsidRPr="008C0B5B">
              <w:rPr>
                <w:rFonts w:ascii="Arial" w:hAnsi="Arial" w:cs="Arial"/>
                <w:sz w:val="22"/>
                <w:szCs w:val="22"/>
              </w:rPr>
              <w:t>inc</w:t>
            </w:r>
            <w:proofErr w:type="spellEnd"/>
            <w:r w:rsidRPr="008C0B5B">
              <w:rPr>
                <w:rFonts w:ascii="Arial" w:hAnsi="Arial" w:cs="Arial"/>
                <w:sz w:val="22"/>
                <w:szCs w:val="22"/>
              </w:rPr>
              <w:t xml:space="preserve"> recruitment data)</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6 Years after termination of service </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lang w:val="en-US"/>
              </w:rPr>
              <w:t>Risk of investigation regarding any future litigation</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Personnel files – annual leave</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2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lang w:val="en-US"/>
              </w:rPr>
            </w:pPr>
            <w:r w:rsidRPr="008C0B5B">
              <w:rPr>
                <w:rFonts w:ascii="Arial" w:hAnsi="Arial" w:cs="Arial"/>
                <w:color w:val="000000"/>
                <w:sz w:val="22"/>
                <w:szCs w:val="22"/>
                <w:lang w:val="en-US"/>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Recruitment data: unsuccessful</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months after recruitment finalised plus current year</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lang w:val="en-US"/>
              </w:rPr>
            </w:pPr>
            <w:r w:rsidRPr="008C0B5B">
              <w:rPr>
                <w:rFonts w:ascii="Arial" w:hAnsi="Arial" w:cs="Arial"/>
                <w:color w:val="000000"/>
                <w:sz w:val="22"/>
                <w:szCs w:val="22"/>
              </w:rPr>
              <w:t xml:space="preserve">Equalities Act </w:t>
            </w:r>
          </w:p>
        </w:tc>
      </w:tr>
      <w:tr w:rsidR="000B5EFF" w:rsidRPr="008C0B5B" w:rsidTr="00A31C68">
        <w:tblPrEx>
          <w:tblCellMar>
            <w:top w:w="0" w:type="dxa"/>
            <w:bottom w:w="0" w:type="dxa"/>
          </w:tblCellMar>
        </w:tblPrEx>
        <w:trPr>
          <w:trHeight w:val="165"/>
        </w:trPr>
        <w:tc>
          <w:tcPr>
            <w:tcW w:w="2538" w:type="dxa"/>
          </w:tcPr>
          <w:p w:rsidR="000B5EFF" w:rsidRPr="008C0B5B" w:rsidRDefault="000B5EFF" w:rsidP="00A31C68">
            <w:pPr>
              <w:rPr>
                <w:rFonts w:ascii="Arial" w:hAnsi="Arial" w:cs="Arial"/>
                <w:sz w:val="22"/>
                <w:szCs w:val="22"/>
              </w:rPr>
            </w:pPr>
          </w:p>
        </w:tc>
        <w:tc>
          <w:tcPr>
            <w:tcW w:w="3690" w:type="dxa"/>
          </w:tcPr>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jc w:val="center"/>
              <w:rPr>
                <w:rFonts w:ascii="Arial" w:hAnsi="Arial" w:cs="Arial"/>
                <w:sz w:val="22"/>
                <w:szCs w:val="22"/>
              </w:rPr>
            </w:pPr>
          </w:p>
        </w:tc>
        <w:tc>
          <w:tcPr>
            <w:tcW w:w="2070" w:type="dxa"/>
          </w:tcPr>
          <w:p w:rsidR="000B5EFF" w:rsidRPr="008C0B5B" w:rsidRDefault="000B5EFF" w:rsidP="00A31C68">
            <w:pPr>
              <w:rPr>
                <w:rFonts w:ascii="Arial" w:hAnsi="Arial" w:cs="Arial"/>
                <w:color w:val="000000"/>
                <w:sz w:val="22"/>
                <w:szCs w:val="22"/>
              </w:rPr>
            </w:pP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pStyle w:val="Heading1"/>
              <w:rPr>
                <w:sz w:val="22"/>
                <w:szCs w:val="22"/>
              </w:rPr>
            </w:pPr>
            <w:r w:rsidRPr="008C0B5B">
              <w:rPr>
                <w:sz w:val="22"/>
                <w:szCs w:val="22"/>
              </w:rPr>
              <w:t>Financial</w:t>
            </w:r>
          </w:p>
        </w:tc>
        <w:tc>
          <w:tcPr>
            <w:tcW w:w="3690" w:type="dxa"/>
          </w:tcPr>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jc w:val="center"/>
              <w:rPr>
                <w:rFonts w:ascii="Arial" w:hAnsi="Arial" w:cs="Arial"/>
                <w:sz w:val="22"/>
                <w:szCs w:val="22"/>
              </w:rPr>
            </w:pPr>
          </w:p>
        </w:tc>
        <w:tc>
          <w:tcPr>
            <w:tcW w:w="2070" w:type="dxa"/>
          </w:tcPr>
          <w:p w:rsidR="000B5EFF" w:rsidRPr="008C0B5B" w:rsidRDefault="000B5EFF" w:rsidP="00A31C68">
            <w:pPr>
              <w:rPr>
                <w:rFonts w:ascii="Arial" w:hAnsi="Arial" w:cs="Arial"/>
                <w:color w:val="000000"/>
                <w:sz w:val="22"/>
                <w:szCs w:val="22"/>
              </w:rPr>
            </w:pP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Receipt and payment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after 6 years.</w:t>
            </w:r>
          </w:p>
        </w:tc>
        <w:tc>
          <w:tcPr>
            <w:tcW w:w="1530" w:type="dxa"/>
          </w:tcPr>
          <w:p w:rsidR="000B5EFF" w:rsidRPr="008C0B5B" w:rsidRDefault="000B5EFF" w:rsidP="00A31C68">
            <w:pP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bCs/>
                <w:sz w:val="22"/>
                <w:szCs w:val="22"/>
              </w:rPr>
            </w:pPr>
            <w:r w:rsidRPr="008C0B5B">
              <w:rPr>
                <w:rFonts w:ascii="Arial" w:hAnsi="Arial" w:cs="Arial"/>
                <w:sz w:val="22"/>
                <w:szCs w:val="22"/>
              </w:rPr>
              <w:t xml:space="preserve">Annual audited accounts </w:t>
            </w:r>
          </w:p>
          <w:p w:rsidR="000B5EFF" w:rsidRPr="008C0B5B" w:rsidRDefault="000B5EFF" w:rsidP="00A31C68">
            <w:pPr>
              <w:rPr>
                <w:rFonts w:ascii="Arial" w:hAnsi="Arial" w:cs="Arial"/>
                <w:sz w:val="22"/>
                <w:szCs w:val="22"/>
              </w:rPr>
            </w:pP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after 6 years.</w:t>
            </w:r>
          </w:p>
        </w:tc>
        <w:tc>
          <w:tcPr>
            <w:tcW w:w="1530" w:type="dxa"/>
          </w:tcPr>
          <w:p w:rsidR="000B5EFF" w:rsidRPr="008C0B5B" w:rsidRDefault="000B5EFF" w:rsidP="00A31C68">
            <w:pP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Rate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after 6 years.</w:t>
            </w:r>
          </w:p>
        </w:tc>
        <w:tc>
          <w:tcPr>
            <w:tcW w:w="1530" w:type="dxa"/>
          </w:tcPr>
          <w:p w:rsidR="000B5EFF" w:rsidRPr="008C0B5B" w:rsidRDefault="000B5EFF" w:rsidP="00A31C68">
            <w:pP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bCs/>
                <w:sz w:val="22"/>
                <w:szCs w:val="22"/>
              </w:rPr>
            </w:pPr>
            <w:r w:rsidRPr="008C0B5B">
              <w:rPr>
                <w:rFonts w:ascii="Arial" w:hAnsi="Arial" w:cs="Arial"/>
                <w:bCs/>
                <w:sz w:val="22"/>
                <w:szCs w:val="22"/>
              </w:rPr>
              <w:t>Accounts and statements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bCs/>
                <w:sz w:val="22"/>
                <w:szCs w:val="22"/>
              </w:rPr>
            </w:pPr>
            <w:r w:rsidRPr="008C0B5B">
              <w:rPr>
                <w:rFonts w:ascii="Arial" w:hAnsi="Arial" w:cs="Arial"/>
                <w:bCs/>
                <w:sz w:val="22"/>
                <w:szCs w:val="22"/>
              </w:rPr>
              <w:t xml:space="preserve">Vouchers </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bCs/>
                <w:sz w:val="22"/>
                <w:szCs w:val="22"/>
              </w:rPr>
            </w:pPr>
            <w:r w:rsidRPr="008C0B5B">
              <w:rPr>
                <w:rFonts w:ascii="Arial" w:hAnsi="Arial" w:cs="Arial"/>
                <w:bCs/>
                <w:sz w:val="22"/>
                <w:szCs w:val="22"/>
              </w:rPr>
              <w:t>Cash and petty cash books and rent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bCs/>
                <w:sz w:val="22"/>
                <w:szCs w:val="22"/>
              </w:rPr>
            </w:pPr>
            <w:r w:rsidRPr="008C0B5B">
              <w:rPr>
                <w:rFonts w:ascii="Arial" w:hAnsi="Arial" w:cs="Arial"/>
                <w:bCs/>
                <w:sz w:val="22"/>
                <w:szCs w:val="22"/>
              </w:rPr>
              <w:t>Receipt books of all kinds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Postage and telephone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Bank statements including deposit/saving accounts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Bank paying-in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Last completed Audit year</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Cheque book stubs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Last completed Audit year</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Paid invoices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Paid cheques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VAT records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VAT Act 1994</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VAT claims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VAT Act 1994</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Time sheets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Last completed Audit year</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 xml:space="preserve">Council financial </w:t>
            </w:r>
            <w:r w:rsidRPr="008C0B5B">
              <w:rPr>
                <w:rFonts w:ascii="Arial" w:hAnsi="Arial" w:cs="Arial"/>
                <w:color w:val="000000"/>
                <w:sz w:val="22"/>
                <w:szCs w:val="22"/>
              </w:rPr>
              <w:lastRenderedPageBreak/>
              <w:t>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lastRenderedPageBreak/>
              <w:t>Wage books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12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Statute of Limitation</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Members’ allowances register</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Statute of Limitation</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Records relating to parish halls, centres and recreation grounds, applications to hire, letting diaries, copies of bills to hirers and records of tickets issued</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6 years</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 with the view to 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Council financial regulations</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pStyle w:val="Heading1"/>
              <w:rPr>
                <w:b w:val="0"/>
                <w:bCs w:val="0"/>
                <w:sz w:val="22"/>
                <w:szCs w:val="22"/>
              </w:rPr>
            </w:pPr>
          </w:p>
        </w:tc>
        <w:tc>
          <w:tcPr>
            <w:tcW w:w="3690" w:type="dxa"/>
          </w:tcPr>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jc w:val="center"/>
              <w:rPr>
                <w:rFonts w:ascii="Arial" w:hAnsi="Arial" w:cs="Arial"/>
                <w:sz w:val="22"/>
                <w:szCs w:val="22"/>
              </w:rPr>
            </w:pPr>
          </w:p>
        </w:tc>
        <w:tc>
          <w:tcPr>
            <w:tcW w:w="2070" w:type="dxa"/>
          </w:tcPr>
          <w:p w:rsidR="000B5EFF" w:rsidRPr="008C0B5B" w:rsidRDefault="000B5EFF" w:rsidP="00A31C68">
            <w:pPr>
              <w:rPr>
                <w:rFonts w:ascii="Arial" w:hAnsi="Arial" w:cs="Arial"/>
                <w:color w:val="000000"/>
                <w:sz w:val="22"/>
                <w:szCs w:val="22"/>
              </w:rPr>
            </w:pP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pStyle w:val="Heading1"/>
              <w:rPr>
                <w:sz w:val="22"/>
                <w:szCs w:val="22"/>
              </w:rPr>
            </w:pPr>
            <w:r w:rsidRPr="008C0B5B">
              <w:rPr>
                <w:sz w:val="22"/>
                <w:szCs w:val="22"/>
              </w:rPr>
              <w:t>Miscellaneous</w:t>
            </w:r>
          </w:p>
        </w:tc>
        <w:tc>
          <w:tcPr>
            <w:tcW w:w="3690" w:type="dxa"/>
          </w:tcPr>
          <w:p w:rsidR="000B5EFF" w:rsidRPr="008C0B5B" w:rsidRDefault="000B5EFF" w:rsidP="00A31C68">
            <w:pPr>
              <w:rPr>
                <w:rFonts w:ascii="Arial" w:hAnsi="Arial" w:cs="Arial"/>
                <w:sz w:val="22"/>
                <w:szCs w:val="22"/>
              </w:rPr>
            </w:pPr>
          </w:p>
        </w:tc>
        <w:tc>
          <w:tcPr>
            <w:tcW w:w="1530" w:type="dxa"/>
          </w:tcPr>
          <w:p w:rsidR="000B5EFF" w:rsidRPr="008C0B5B" w:rsidRDefault="000B5EFF" w:rsidP="00A31C68">
            <w:pPr>
              <w:jc w:val="center"/>
              <w:rPr>
                <w:rFonts w:ascii="Arial" w:hAnsi="Arial" w:cs="Arial"/>
                <w:sz w:val="22"/>
                <w:szCs w:val="22"/>
              </w:rPr>
            </w:pPr>
          </w:p>
        </w:tc>
        <w:tc>
          <w:tcPr>
            <w:tcW w:w="2070" w:type="dxa"/>
          </w:tcPr>
          <w:p w:rsidR="000B5EFF" w:rsidRPr="008C0B5B" w:rsidRDefault="000B5EFF" w:rsidP="00A31C68">
            <w:pPr>
              <w:rPr>
                <w:rFonts w:ascii="Arial" w:hAnsi="Arial" w:cs="Arial"/>
                <w:color w:val="000000"/>
                <w:sz w:val="22"/>
                <w:szCs w:val="22"/>
              </w:rPr>
            </w:pP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Maps created under the provision of the Rights of Way Act 1932</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once they become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Papers concerning Rights of Way</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Destroy</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Community magazines or newsletters(not created by the parish council)</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Charity papers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Press cuttings book</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Photographs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color w:val="000000"/>
                <w:sz w:val="22"/>
                <w:szCs w:val="22"/>
              </w:rPr>
            </w:pPr>
            <w:r w:rsidRPr="008C0B5B">
              <w:rPr>
                <w:rFonts w:ascii="Arial" w:hAnsi="Arial" w:cs="Arial"/>
                <w:color w:val="000000"/>
                <w:sz w:val="22"/>
                <w:szCs w:val="22"/>
              </w:rPr>
              <w:t>Operational</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Any records predating the establishment of Parish Councils (1894), e.g. poor law, surveyors of the highway, tithe maps and apportionments, enclosure awards etc.</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immediately</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sz w:val="22"/>
                <w:szCs w:val="22"/>
              </w:rPr>
            </w:pPr>
            <w:r w:rsidRPr="008C0B5B">
              <w:rPr>
                <w:rFonts w:ascii="Arial" w:hAnsi="Arial" w:cs="Arial"/>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Records of other bodies such as burial boards, charities, fire brigades, Home Guard unit, local society or ad hoc committee</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Transfer to HARC once they become inactive</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Preserve</w:t>
            </w:r>
          </w:p>
        </w:tc>
        <w:tc>
          <w:tcPr>
            <w:tcW w:w="2070" w:type="dxa"/>
          </w:tcPr>
          <w:p w:rsidR="000B5EFF" w:rsidRPr="008C0B5B" w:rsidRDefault="000B5EFF" w:rsidP="00A31C68">
            <w:pPr>
              <w:rPr>
                <w:rFonts w:ascii="Arial" w:hAnsi="Arial" w:cs="Arial"/>
                <w:sz w:val="22"/>
                <w:szCs w:val="22"/>
              </w:rPr>
            </w:pPr>
            <w:r w:rsidRPr="008C0B5B">
              <w:rPr>
                <w:rFonts w:ascii="Arial" w:hAnsi="Arial" w:cs="Arial"/>
                <w:sz w:val="22"/>
                <w:szCs w:val="22"/>
              </w:rPr>
              <w:t>Common practice</w:t>
            </w:r>
          </w:p>
        </w:tc>
      </w:tr>
      <w:tr w:rsidR="000B5EFF" w:rsidRPr="008C0B5B" w:rsidTr="00A31C68">
        <w:tblPrEx>
          <w:tblCellMar>
            <w:top w:w="0" w:type="dxa"/>
            <w:bottom w:w="0" w:type="dxa"/>
          </w:tblCellMar>
        </w:tblPrEx>
        <w:trPr>
          <w:trHeight w:val="276"/>
        </w:trPr>
        <w:tc>
          <w:tcPr>
            <w:tcW w:w="2538" w:type="dxa"/>
          </w:tcPr>
          <w:p w:rsidR="000B5EFF" w:rsidRPr="008C0B5B" w:rsidRDefault="000B5EFF" w:rsidP="00A31C68">
            <w:pPr>
              <w:rPr>
                <w:rFonts w:ascii="Arial" w:hAnsi="Arial" w:cs="Arial"/>
                <w:sz w:val="22"/>
                <w:szCs w:val="22"/>
              </w:rPr>
            </w:pPr>
            <w:r w:rsidRPr="008C0B5B">
              <w:rPr>
                <w:rFonts w:ascii="Arial" w:hAnsi="Arial" w:cs="Arial"/>
                <w:sz w:val="22"/>
                <w:szCs w:val="22"/>
              </w:rPr>
              <w:t xml:space="preserve">Reports, guides, handbooks </w:t>
            </w:r>
            <w:proofErr w:type="spellStart"/>
            <w:r w:rsidRPr="008C0B5B">
              <w:rPr>
                <w:rFonts w:ascii="Arial" w:hAnsi="Arial" w:cs="Arial"/>
                <w:sz w:val="22"/>
                <w:szCs w:val="22"/>
              </w:rPr>
              <w:t>etc</w:t>
            </w:r>
            <w:proofErr w:type="spellEnd"/>
            <w:r w:rsidRPr="008C0B5B">
              <w:rPr>
                <w:rFonts w:ascii="Arial" w:hAnsi="Arial" w:cs="Arial"/>
                <w:sz w:val="22"/>
                <w:szCs w:val="22"/>
              </w:rPr>
              <w:t xml:space="preserve"> received from other organisations</w:t>
            </w:r>
          </w:p>
        </w:tc>
        <w:tc>
          <w:tcPr>
            <w:tcW w:w="3690" w:type="dxa"/>
          </w:tcPr>
          <w:p w:rsidR="000B5EFF" w:rsidRPr="008C0B5B" w:rsidRDefault="000B5EFF" w:rsidP="00A31C68">
            <w:pPr>
              <w:rPr>
                <w:rFonts w:ascii="Arial" w:hAnsi="Arial" w:cs="Arial"/>
                <w:sz w:val="22"/>
                <w:szCs w:val="22"/>
              </w:rPr>
            </w:pPr>
            <w:r w:rsidRPr="008C0B5B">
              <w:rPr>
                <w:rFonts w:ascii="Arial" w:hAnsi="Arial" w:cs="Arial"/>
                <w:sz w:val="22"/>
                <w:szCs w:val="22"/>
              </w:rPr>
              <w:t>Until there is no longer an administrative requirement</w:t>
            </w:r>
          </w:p>
        </w:tc>
        <w:tc>
          <w:tcPr>
            <w:tcW w:w="1530" w:type="dxa"/>
          </w:tcPr>
          <w:p w:rsidR="000B5EFF" w:rsidRPr="008C0B5B" w:rsidRDefault="000B5EFF" w:rsidP="00A31C68">
            <w:pPr>
              <w:jc w:val="center"/>
              <w:rPr>
                <w:rFonts w:ascii="Arial" w:hAnsi="Arial" w:cs="Arial"/>
                <w:sz w:val="22"/>
                <w:szCs w:val="22"/>
              </w:rPr>
            </w:pPr>
            <w:r w:rsidRPr="008C0B5B">
              <w:rPr>
                <w:rFonts w:ascii="Arial" w:hAnsi="Arial" w:cs="Arial"/>
                <w:sz w:val="22"/>
                <w:szCs w:val="22"/>
              </w:rPr>
              <w:t>Review</w:t>
            </w:r>
          </w:p>
        </w:tc>
        <w:tc>
          <w:tcPr>
            <w:tcW w:w="2070" w:type="dxa"/>
          </w:tcPr>
          <w:p w:rsidR="000B5EFF" w:rsidRPr="008C0B5B" w:rsidRDefault="000B5EFF" w:rsidP="00A31C68">
            <w:pPr>
              <w:rPr>
                <w:rFonts w:ascii="Arial" w:hAnsi="Arial" w:cs="Arial"/>
                <w:sz w:val="22"/>
                <w:szCs w:val="22"/>
              </w:rPr>
            </w:pPr>
            <w:r w:rsidRPr="008C0B5B">
              <w:rPr>
                <w:rFonts w:ascii="Arial" w:hAnsi="Arial" w:cs="Arial"/>
                <w:sz w:val="22"/>
                <w:szCs w:val="22"/>
              </w:rPr>
              <w:t>Operational</w:t>
            </w:r>
          </w:p>
        </w:tc>
      </w:tr>
    </w:tbl>
    <w:p w:rsidR="000B5EFF" w:rsidRPr="008C0B5B" w:rsidRDefault="000B5EFF" w:rsidP="000B5EFF">
      <w:pPr>
        <w:rPr>
          <w:rFonts w:ascii="Arial" w:hAnsi="Arial" w:cs="Arial"/>
          <w:sz w:val="22"/>
          <w:szCs w:val="22"/>
        </w:rPr>
      </w:pPr>
    </w:p>
    <w:p w:rsidR="00865AFD" w:rsidRPr="008C0B5B" w:rsidRDefault="000B5EFF" w:rsidP="000B5EFF">
      <w:pPr>
        <w:rPr>
          <w:sz w:val="22"/>
          <w:szCs w:val="22"/>
        </w:rPr>
      </w:pPr>
      <w:r w:rsidRPr="008C0B5B">
        <w:rPr>
          <w:rFonts w:ascii="Arial" w:hAnsi="Arial" w:cs="Arial"/>
          <w:sz w:val="22"/>
          <w:szCs w:val="22"/>
        </w:rPr>
        <w:t>April 2018</w:t>
      </w:r>
    </w:p>
    <w:sectPr w:rsidR="00865AFD" w:rsidRPr="008C0B5B" w:rsidSect="000B5EFF">
      <w:pgSz w:w="11906" w:h="16838"/>
      <w:pgMar w:top="810" w:right="836"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EFF"/>
    <w:rsid w:val="000B5EFF"/>
    <w:rsid w:val="00865AFD"/>
    <w:rsid w:val="008C0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5EFF"/>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EFF"/>
    <w:rPr>
      <w:rFonts w:ascii="Arial" w:eastAsia="Times New Roman" w:hAnsi="Arial" w:cs="Arial"/>
      <w:b/>
      <w:bCs/>
      <w:sz w:val="24"/>
      <w:szCs w:val="24"/>
    </w:rPr>
  </w:style>
  <w:style w:type="paragraph" w:styleId="BodyText">
    <w:name w:val="Body Text"/>
    <w:basedOn w:val="Normal"/>
    <w:link w:val="BodyTextChar"/>
    <w:semiHidden/>
    <w:rsid w:val="000B5EFF"/>
    <w:rPr>
      <w:rFonts w:ascii="Arial" w:hAnsi="Arial" w:cs="Arial"/>
      <w:b/>
      <w:bCs/>
      <w:sz w:val="28"/>
    </w:rPr>
  </w:style>
  <w:style w:type="character" w:customStyle="1" w:styleId="BodyTextChar">
    <w:name w:val="Body Text Char"/>
    <w:basedOn w:val="DefaultParagraphFont"/>
    <w:link w:val="BodyText"/>
    <w:semiHidden/>
    <w:rsid w:val="000B5EFF"/>
    <w:rPr>
      <w:rFonts w:ascii="Arial" w:eastAsia="Times New Roman" w:hAnsi="Arial" w:cs="Arial"/>
      <w:b/>
      <w:bCs/>
      <w:sz w:val="28"/>
      <w:szCs w:val="24"/>
    </w:rPr>
  </w:style>
  <w:style w:type="paragraph" w:styleId="NoSpacing">
    <w:name w:val="No Spacing"/>
    <w:uiPriority w:val="1"/>
    <w:qFormat/>
    <w:rsid w:val="000B5EF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B5EFF"/>
    <w:rPr>
      <w:rFonts w:ascii="Tahoma" w:hAnsi="Tahoma" w:cs="Tahoma"/>
      <w:sz w:val="16"/>
      <w:szCs w:val="16"/>
    </w:rPr>
  </w:style>
  <w:style w:type="character" w:customStyle="1" w:styleId="BalloonTextChar">
    <w:name w:val="Balloon Text Char"/>
    <w:basedOn w:val="DefaultParagraphFont"/>
    <w:link w:val="BalloonText"/>
    <w:uiPriority w:val="99"/>
    <w:semiHidden/>
    <w:rsid w:val="000B5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E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5EFF"/>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EFF"/>
    <w:rPr>
      <w:rFonts w:ascii="Arial" w:eastAsia="Times New Roman" w:hAnsi="Arial" w:cs="Arial"/>
      <w:b/>
      <w:bCs/>
      <w:sz w:val="24"/>
      <w:szCs w:val="24"/>
    </w:rPr>
  </w:style>
  <w:style w:type="paragraph" w:styleId="BodyText">
    <w:name w:val="Body Text"/>
    <w:basedOn w:val="Normal"/>
    <w:link w:val="BodyTextChar"/>
    <w:semiHidden/>
    <w:rsid w:val="000B5EFF"/>
    <w:rPr>
      <w:rFonts w:ascii="Arial" w:hAnsi="Arial" w:cs="Arial"/>
      <w:b/>
      <w:bCs/>
      <w:sz w:val="28"/>
    </w:rPr>
  </w:style>
  <w:style w:type="character" w:customStyle="1" w:styleId="BodyTextChar">
    <w:name w:val="Body Text Char"/>
    <w:basedOn w:val="DefaultParagraphFont"/>
    <w:link w:val="BodyText"/>
    <w:semiHidden/>
    <w:rsid w:val="000B5EFF"/>
    <w:rPr>
      <w:rFonts w:ascii="Arial" w:eastAsia="Times New Roman" w:hAnsi="Arial" w:cs="Arial"/>
      <w:b/>
      <w:bCs/>
      <w:sz w:val="28"/>
      <w:szCs w:val="24"/>
    </w:rPr>
  </w:style>
  <w:style w:type="paragraph" w:styleId="NoSpacing">
    <w:name w:val="No Spacing"/>
    <w:uiPriority w:val="1"/>
    <w:qFormat/>
    <w:rsid w:val="000B5EF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B5EFF"/>
    <w:rPr>
      <w:rFonts w:ascii="Tahoma" w:hAnsi="Tahoma" w:cs="Tahoma"/>
      <w:sz w:val="16"/>
      <w:szCs w:val="16"/>
    </w:rPr>
  </w:style>
  <w:style w:type="character" w:customStyle="1" w:styleId="BalloonTextChar">
    <w:name w:val="Balloon Text Char"/>
    <w:basedOn w:val="DefaultParagraphFont"/>
    <w:link w:val="BalloonText"/>
    <w:uiPriority w:val="99"/>
    <w:semiHidden/>
    <w:rsid w:val="000B5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2</cp:revision>
  <cp:lastPrinted>2018-05-10T13:08:00Z</cp:lastPrinted>
  <dcterms:created xsi:type="dcterms:W3CDTF">2018-05-10T13:07:00Z</dcterms:created>
  <dcterms:modified xsi:type="dcterms:W3CDTF">2018-05-10T13:09:00Z</dcterms:modified>
</cp:coreProperties>
</file>